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2A" w:rsidRDefault="00A76B8E" w:rsidP="009447F2">
      <w:pPr>
        <w:pStyle w:val="BodyText"/>
        <w:jc w:val="center"/>
      </w:pPr>
      <w:r>
        <w:rPr>
          <w:noProof/>
        </w:rPr>
        <w:drawing>
          <wp:inline distT="0" distB="0" distL="0" distR="0">
            <wp:extent cx="1647825" cy="962025"/>
            <wp:effectExtent l="0" t="0" r="9525" b="9525"/>
            <wp:docPr id="5" name="Picture 5" descr="C:\Users\trichardson\Pictures\AMCI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ichardson\Pictures\AMCI_logo_color.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7825" cy="962025"/>
                    </a:xfrm>
                    <a:prstGeom prst="rect">
                      <a:avLst/>
                    </a:prstGeom>
                    <a:noFill/>
                    <a:ln>
                      <a:noFill/>
                    </a:ln>
                  </pic:spPr>
                </pic:pic>
              </a:graphicData>
            </a:graphic>
          </wp:inline>
        </w:drawing>
      </w:r>
      <w:bookmarkStart w:id="0" w:name="_GoBack"/>
      <w:bookmarkEnd w:id="0"/>
    </w:p>
    <w:p w:rsidR="0096152A" w:rsidRDefault="00A76B8E" w:rsidP="009447F2">
      <w:pPr>
        <w:pStyle w:val="BodyText"/>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1762125</wp:posOffset>
                </wp:positionH>
                <wp:positionV relativeFrom="paragraph">
                  <wp:posOffset>84455</wp:posOffset>
                </wp:positionV>
                <wp:extent cx="3438525" cy="3219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7F2" w:rsidRPr="009447F2" w:rsidRDefault="009447F2" w:rsidP="009447F2">
                            <w:pPr>
                              <w:rPr>
                                <w:rFonts w:ascii="Franklin Gothic Book" w:hAnsi="Franklin Gothic Book"/>
                                <w:b/>
                                <w:sz w:val="32"/>
                              </w:rPr>
                            </w:pPr>
                            <w:r w:rsidRPr="009447F2">
                              <w:rPr>
                                <w:rFonts w:ascii="Franklin Gothic Book" w:hAnsi="Franklin Gothic Book"/>
                                <w:b/>
                                <w:sz w:val="32"/>
                              </w:rPr>
                              <w:t>SAMPLE Records Retention Schedule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75pt;margin-top:6.65pt;width:270.75pt;height:25.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" stroked="f">
                <v:textbox style="mso-fit-shape-to-text:t">
                  <w:txbxContent>
                    <w:p w:rsidR="009447F2" w:rsidRPr="009447F2" w:rsidRDefault="009447F2" w:rsidP="009447F2">
                      <w:pPr>
                        <w:rPr>
                          <w:rFonts w:ascii="Franklin Gothic Book" w:hAnsi="Franklin Gothic Book"/>
                          <w:b/>
                          <w:sz w:val="32"/>
                        </w:rPr>
                      </w:pPr>
                      <w:r w:rsidRPr="009447F2">
                        <w:rPr>
                          <w:rFonts w:ascii="Franklin Gothic Book" w:hAnsi="Franklin Gothic Book"/>
                          <w:b/>
                          <w:sz w:val="32"/>
                        </w:rPr>
                        <w:t>SAMPLE Records Retention Schedule</w:t>
                      </w:r>
                    </w:p>
                  </w:txbxContent>
                </v:textbox>
                <w10:wrap type="square"/>
              </v:shape>
            </w:pict>
          </mc:Fallback>
        </mc:AlternateContent>
      </w:r>
    </w:p>
    <w:p w:rsidR="009447F2" w:rsidRDefault="009447F2" w:rsidP="009447F2">
      <w:pPr>
        <w:pStyle w:val="BodyText"/>
        <w:jc w:val="center"/>
      </w:pPr>
    </w:p>
    <w:p w:rsidR="009447F2" w:rsidRDefault="009447F2" w:rsidP="009447F2">
      <w:pPr>
        <w:pStyle w:val="BodyText"/>
      </w:pPr>
    </w:p>
    <w:p w:rsidR="009447F2" w:rsidRPr="009447F2" w:rsidRDefault="009447F2" w:rsidP="009447F2">
      <w:pPr>
        <w:pStyle w:val="BodyText"/>
        <w:sectPr w:rsidR="009447F2" w:rsidRPr="009447F2">
          <w:pgSz w:w="12240" w:h="15840"/>
          <w:pgMar w:top="720" w:right="720" w:bottom="720" w:left="720" w:header="0" w:footer="0" w:gutter="0"/>
          <w:cols w:space="720" w:equalWidth="0">
            <w:col w:w="10800" w:space="720"/>
          </w:cols>
          <w:noEndnote/>
        </w:sectPr>
      </w:pPr>
    </w:p>
    <w:p w:rsidR="0096152A" w:rsidRPr="009447F2" w:rsidRDefault="009447F2" w:rsidP="009447F2">
      <w:pPr>
        <w:pStyle w:val="Subtitle"/>
        <w:jc w:val="left"/>
        <w:rPr>
          <w:rFonts w:ascii="Franklin Gothic Book" w:hAnsi="Franklin Gothic Book"/>
          <w:b w:val="0"/>
        </w:rPr>
      </w:pPr>
      <w:r>
        <w:rPr>
          <w:rFonts w:ascii="Franklin Gothic Book" w:hAnsi="Franklin Gothic Book"/>
          <w:b w:val="0"/>
        </w:rPr>
        <w:lastRenderedPageBreak/>
        <w:t>It should be the policy of a b</w:t>
      </w:r>
      <w:r w:rsidR="0096152A" w:rsidRPr="009447F2">
        <w:rPr>
          <w:rFonts w:ascii="Franklin Gothic Book" w:hAnsi="Franklin Gothic Book"/>
          <w:b w:val="0"/>
        </w:rPr>
        <w:t>usiness to retain records as required by law and to destroy them when appropriate. The destruction of records must be approved by the Chief Financial Officer (or other person with similar responsibilities), and logged into the Organization’s Destroyed Records Log. The formal records retention policy of a business should be as follows: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Accident reports/claims (settled cases)</w:t>
      </w:r>
      <w:r w:rsidRPr="009447F2">
        <w:rPr>
          <w:rFonts w:ascii="Franklin Gothic Book" w:hAnsi="Franklin Gothic Book"/>
          <w:b w:val="0"/>
        </w:rPr>
        <w:tab/>
        <w:t xml:space="preserve"> 7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Accounts payable ledgers and schedules</w:t>
      </w:r>
      <w:r w:rsidRPr="009447F2">
        <w:rPr>
          <w:rFonts w:ascii="Franklin Gothic Book" w:hAnsi="Franklin Gothic Book"/>
          <w:b w:val="0"/>
        </w:rPr>
        <w:tab/>
        <w:t>7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Accounts receivable ledgers and schedules</w:t>
      </w:r>
      <w:r w:rsidRPr="009447F2">
        <w:rPr>
          <w:rFonts w:ascii="Franklin Gothic Book" w:hAnsi="Franklin Gothic Book"/>
          <w:b w:val="0"/>
        </w:rPr>
        <w:tab/>
        <w:t>7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Audit reports of accountants</w:t>
      </w:r>
      <w:r w:rsidRPr="009447F2">
        <w:rPr>
          <w:rFonts w:ascii="Franklin Gothic Book" w:hAnsi="Franklin Gothic Book"/>
          <w:b w:val="0"/>
        </w:rPr>
        <w:tab/>
        <w:t>Permanently</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Bank reconciliations</w:t>
      </w:r>
      <w:r w:rsidRPr="009447F2">
        <w:rPr>
          <w:rFonts w:ascii="Franklin Gothic Book" w:hAnsi="Franklin Gothic Book"/>
          <w:b w:val="0"/>
        </w:rPr>
        <w:tab/>
        <w:t>2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Bank Statements</w:t>
      </w:r>
      <w:r w:rsidRPr="009447F2">
        <w:rPr>
          <w:rFonts w:ascii="Franklin Gothic Book" w:hAnsi="Franklin Gothic Book"/>
          <w:b w:val="0"/>
        </w:rPr>
        <w:tab/>
        <w:t>4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Capital stock and bond records; ledgers,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transfer registers, stubs showing issues,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record of interest coupons, options, etc</w:t>
      </w:r>
      <w:r w:rsidRPr="009447F2">
        <w:rPr>
          <w:rFonts w:ascii="Franklin Gothic Book" w:hAnsi="Franklin Gothic Book"/>
          <w:b w:val="0"/>
        </w:rPr>
        <w:tab/>
        <w:t>Permanently</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Cash books</w:t>
      </w:r>
      <w:r w:rsidRPr="009447F2">
        <w:rPr>
          <w:rFonts w:ascii="Franklin Gothic Book" w:hAnsi="Franklin Gothic Book"/>
          <w:b w:val="0"/>
        </w:rPr>
        <w:tab/>
        <w:t>Permanently</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Chart of Accounts</w:t>
      </w:r>
      <w:r w:rsidRPr="009447F2">
        <w:rPr>
          <w:rFonts w:ascii="Franklin Gothic Book" w:hAnsi="Franklin Gothic Book"/>
          <w:b w:val="0"/>
        </w:rPr>
        <w:tab/>
        <w:t>Permanently</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Checks (cancelled but see exception below)</w:t>
      </w:r>
      <w:r w:rsidRPr="009447F2">
        <w:rPr>
          <w:rFonts w:ascii="Franklin Gothic Book" w:hAnsi="Franklin Gothic Book"/>
          <w:b w:val="0"/>
        </w:rPr>
        <w:tab/>
        <w:t>7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Checks (cancelled for important payments,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i.e., taxes, purchases of property, special,</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contract, etc.)  (checks should be filed with</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the papers pertaining to the underlying</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transaction) </w:t>
      </w:r>
      <w:r w:rsidRPr="009447F2">
        <w:rPr>
          <w:rFonts w:ascii="Franklin Gothic Book" w:hAnsi="Franklin Gothic Book"/>
          <w:b w:val="0"/>
        </w:rPr>
        <w:tab/>
        <w:t>Permanently</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Contracts, mortgages, notes and leases: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Expired</w:t>
      </w:r>
      <w:r w:rsidRPr="009447F2">
        <w:rPr>
          <w:rFonts w:ascii="Franklin Gothic Book" w:hAnsi="Franklin Gothic Book"/>
          <w:b w:val="0"/>
        </w:rPr>
        <w:tab/>
        <w:t>7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Still in effect</w:t>
      </w:r>
      <w:r w:rsidRPr="009447F2">
        <w:rPr>
          <w:rFonts w:ascii="Franklin Gothic Book" w:hAnsi="Franklin Gothic Book"/>
          <w:b w:val="0"/>
        </w:rPr>
        <w:tab/>
        <w:t xml:space="preserve"> Permanently</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Correspondence:</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General</w:t>
      </w:r>
      <w:r w:rsidRPr="009447F2">
        <w:rPr>
          <w:rFonts w:ascii="Franklin Gothic Book" w:hAnsi="Franklin Gothic Book"/>
          <w:b w:val="0"/>
        </w:rPr>
        <w:tab/>
        <w:t>2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Legal and important matters only</w:t>
      </w:r>
      <w:r w:rsidRPr="009447F2">
        <w:rPr>
          <w:rFonts w:ascii="Franklin Gothic Book" w:hAnsi="Franklin Gothic Book"/>
          <w:b w:val="0"/>
        </w:rPr>
        <w:tab/>
        <w:t xml:space="preserve"> Permanently</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Routine with customers and/or vendors</w:t>
      </w:r>
      <w:r w:rsidRPr="009447F2">
        <w:rPr>
          <w:rFonts w:ascii="Franklin Gothic Book" w:hAnsi="Franklin Gothic Book"/>
          <w:b w:val="0"/>
        </w:rPr>
        <w:tab/>
        <w:t>2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Deeds, mortgages and bills of sales</w:t>
      </w:r>
      <w:r w:rsidRPr="009447F2">
        <w:rPr>
          <w:rFonts w:ascii="Franklin Gothic Book" w:hAnsi="Franklin Gothic Book"/>
          <w:b w:val="0"/>
        </w:rPr>
        <w:tab/>
        <w:t xml:space="preserve"> Permanently</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Depreciation schedules</w:t>
      </w:r>
      <w:r w:rsidRPr="009447F2">
        <w:rPr>
          <w:rFonts w:ascii="Franklin Gothic Book" w:hAnsi="Franklin Gothic Book"/>
          <w:b w:val="0"/>
        </w:rPr>
        <w:tab/>
        <w:t xml:space="preserve"> .Permanently</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Duplicate deposit slips</w:t>
      </w:r>
      <w:r w:rsidRPr="009447F2">
        <w:rPr>
          <w:rFonts w:ascii="Franklin Gothic Book" w:hAnsi="Franklin Gothic Book"/>
          <w:b w:val="0"/>
        </w:rPr>
        <w:tab/>
        <w:t>2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Employment applications</w:t>
      </w:r>
      <w:r w:rsidRPr="009447F2">
        <w:rPr>
          <w:rFonts w:ascii="Franklin Gothic Book" w:hAnsi="Franklin Gothic Book"/>
          <w:b w:val="0"/>
        </w:rPr>
        <w:tab/>
        <w:t>3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Employee personal records </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(after termination)</w:t>
      </w:r>
      <w:r w:rsidRPr="009447F2">
        <w:rPr>
          <w:rFonts w:ascii="Franklin Gothic Book" w:hAnsi="Franklin Gothic Book"/>
          <w:b w:val="0"/>
        </w:rPr>
        <w:tab/>
        <w:t>3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Expense analyses/expense</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distribution schedule</w:t>
      </w:r>
      <w:r w:rsidRPr="009447F2">
        <w:rPr>
          <w:rFonts w:ascii="Franklin Gothic Book" w:hAnsi="Franklin Gothic Book"/>
          <w:b w:val="0"/>
        </w:rPr>
        <w:tab/>
        <w:t>7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Financial statements: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Year end</w:t>
      </w:r>
      <w:r w:rsidRPr="009447F2">
        <w:rPr>
          <w:rFonts w:ascii="Franklin Gothic Book" w:hAnsi="Franklin Gothic Book"/>
          <w:b w:val="0"/>
        </w:rPr>
        <w:tab/>
        <w:t>Permanently</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Other</w:t>
      </w:r>
      <w:r w:rsidRPr="009447F2">
        <w:rPr>
          <w:rFonts w:ascii="Franklin Gothic Book" w:hAnsi="Franklin Gothic Book"/>
          <w:b w:val="0"/>
        </w:rPr>
        <w:tab/>
        <w:t>Optional</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Garnishments</w:t>
      </w:r>
      <w:r w:rsidRPr="009447F2">
        <w:rPr>
          <w:rFonts w:ascii="Franklin Gothic Book" w:hAnsi="Franklin Gothic Book"/>
          <w:b w:val="0"/>
        </w:rPr>
        <w:tab/>
        <w:t>7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General and private ledgers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(and end-of-year trial balances)</w:t>
      </w:r>
      <w:r w:rsidRPr="009447F2">
        <w:rPr>
          <w:rFonts w:ascii="Franklin Gothic Book" w:hAnsi="Franklin Gothic Book"/>
          <w:b w:val="0"/>
        </w:rPr>
        <w:tab/>
        <w:t xml:space="preserve"> Permanently</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Insurance policies (expired)</w:t>
      </w:r>
      <w:r w:rsidRPr="009447F2">
        <w:rPr>
          <w:rFonts w:ascii="Franklin Gothic Book" w:hAnsi="Franklin Gothic Book"/>
          <w:b w:val="0"/>
        </w:rPr>
        <w:tab/>
        <w:t>3 Years</w:t>
      </w:r>
    </w:p>
    <w:p w:rsidR="0096152A" w:rsidRPr="009447F2" w:rsidRDefault="00A76B8E">
      <w:pPr>
        <w:pStyle w:val="Subtitle"/>
        <w:tabs>
          <w:tab w:val="right" w:leader="dot" w:pos="5040"/>
        </w:tabs>
        <w:spacing w:line="240" w:lineRule="auto"/>
        <w:jc w:val="left"/>
        <w:rPr>
          <w:rFonts w:ascii="Franklin Gothic Book" w:hAnsi="Franklin Gothic Book"/>
          <w:b w:val="0"/>
        </w:rPr>
      </w:pPr>
      <w:r>
        <w:rPr>
          <w:noProof/>
        </w:rPr>
        <mc:AlternateContent>
          <mc:Choice Requires="wps">
            <w:drawing>
              <wp:anchor distT="45720" distB="45720" distL="114300" distR="114300" simplePos="0" relativeHeight="251661312" behindDoc="0" locked="0" layoutInCell="1" allowOverlap="1">
                <wp:simplePos x="0" y="0"/>
                <wp:positionH relativeFrom="column">
                  <wp:posOffset>-209550</wp:posOffset>
                </wp:positionH>
                <wp:positionV relativeFrom="paragraph">
                  <wp:posOffset>401955</wp:posOffset>
                </wp:positionV>
                <wp:extent cx="7134225" cy="2209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7F2" w:rsidRPr="009447F2" w:rsidRDefault="009447F2">
                            <w:pPr>
                              <w:rPr>
                                <w:rFonts w:ascii="Franklin Gothic Book" w:hAnsi="Franklin Gothic Book"/>
                                <w:b/>
                                <w:i/>
                                <w:sz w:val="18"/>
                                <w:szCs w:val="18"/>
                              </w:rPr>
                            </w:pPr>
                            <w:r w:rsidRPr="009447F2">
                              <w:rPr>
                                <w:rFonts w:ascii="Franklin Gothic Book" w:hAnsi="Franklin Gothic Book"/>
                                <w:b/>
                                <w:i/>
                                <w:sz w:val="18"/>
                                <w:szCs w:val="18"/>
                              </w:rPr>
                              <w:t>*This checklist if for your guidance only and should be modified to accommodate any special agreements or requirements of your organization.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6.5pt;margin-top:31.65pt;width:561.75pt;height:17.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" stroked="f">
                <v:textbox style="mso-fit-shape-to-text:t">
                  <w:txbxContent>
                    <w:p w:rsidR="009447F2" w:rsidRPr="009447F2" w:rsidRDefault="009447F2">
                      <w:pPr>
                        <w:rPr>
                          <w:rFonts w:ascii="Franklin Gothic Book" w:hAnsi="Franklin Gothic Book"/>
                          <w:b/>
                          <w:i/>
                          <w:sz w:val="18"/>
                          <w:szCs w:val="18"/>
                        </w:rPr>
                      </w:pPr>
                      <w:r w:rsidRPr="009447F2">
                        <w:rPr>
                          <w:rFonts w:ascii="Franklin Gothic Book" w:hAnsi="Franklin Gothic Book"/>
                          <w:b/>
                          <w:i/>
                          <w:sz w:val="18"/>
                          <w:szCs w:val="18"/>
                        </w:rPr>
                        <w:t>*This checklist if for your guidance only and should be modified to accommodate any special agreements or requirements of your organization.</w:t>
                      </w:r>
                    </w:p>
                  </w:txbxContent>
                </v:textbox>
                <w10:wrap type="square"/>
              </v:shape>
            </w:pict>
          </mc:Fallback>
        </mc:AlternateContent>
      </w:r>
      <w:r w:rsidR="0096152A" w:rsidRPr="009447F2">
        <w:rPr>
          <w:rFonts w:ascii="Franklin Gothic Book" w:hAnsi="Franklin Gothic Book"/>
          <w:b w:val="0"/>
        </w:rPr>
        <w:t>Insurance records, current accident reports,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claims, policies, etc</w:t>
      </w:r>
      <w:r w:rsidRPr="009447F2">
        <w:rPr>
          <w:rFonts w:ascii="Franklin Gothic Book" w:hAnsi="Franklin Gothic Book"/>
          <w:b w:val="0"/>
        </w:rPr>
        <w:tab/>
        <w:t>Permanently</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lastRenderedPageBreak/>
        <w:t xml:space="preserve">Internal audit reports (in some situations </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longer retention periods may be desirable)</w:t>
      </w:r>
      <w:r w:rsidRPr="009447F2">
        <w:rPr>
          <w:rFonts w:ascii="Franklin Gothic Book" w:hAnsi="Franklin Gothic Book"/>
          <w:b w:val="0"/>
        </w:rPr>
        <w:tab/>
        <w:t>3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Internal reports (miscellaneous)</w:t>
      </w:r>
      <w:r w:rsidRPr="009447F2">
        <w:rPr>
          <w:rFonts w:ascii="Franklin Gothic Book" w:hAnsi="Franklin Gothic Book"/>
          <w:b w:val="0"/>
        </w:rPr>
        <w:tab/>
        <w:t>3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Inventories of products, materials and </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supplies</w:t>
      </w:r>
      <w:r w:rsidRPr="009447F2">
        <w:rPr>
          <w:rFonts w:ascii="Franklin Gothic Book" w:hAnsi="Franklin Gothic Book"/>
          <w:b w:val="0"/>
        </w:rPr>
        <w:tab/>
        <w:t>7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Invoices to customers</w:t>
      </w:r>
      <w:r w:rsidRPr="009447F2">
        <w:rPr>
          <w:rFonts w:ascii="Franklin Gothic Book" w:hAnsi="Franklin Gothic Book"/>
          <w:b w:val="0"/>
        </w:rPr>
        <w:tab/>
        <w:t>4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Invoices from vendors</w:t>
      </w:r>
      <w:r w:rsidRPr="009447F2">
        <w:rPr>
          <w:rFonts w:ascii="Franklin Gothic Book" w:hAnsi="Franklin Gothic Book"/>
          <w:b w:val="0"/>
        </w:rPr>
        <w:tab/>
        <w:t>7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Journals</w:t>
      </w:r>
      <w:r w:rsidRPr="009447F2">
        <w:rPr>
          <w:rFonts w:ascii="Franklin Gothic Book" w:hAnsi="Franklin Gothic Book"/>
          <w:b w:val="0"/>
        </w:rPr>
        <w:tab/>
        <w:t>Permanently</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Minute books of directors and stockholders,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including by-laws and charter</w:t>
      </w:r>
      <w:r w:rsidRPr="009447F2">
        <w:rPr>
          <w:rFonts w:ascii="Franklin Gothic Book" w:hAnsi="Franklin Gothic Book"/>
          <w:b w:val="0"/>
        </w:rPr>
        <w:tab/>
        <w:t xml:space="preserve"> Permanently</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Notes receivable ledgers and schedules</w:t>
      </w:r>
      <w:r w:rsidRPr="009447F2">
        <w:rPr>
          <w:rFonts w:ascii="Franklin Gothic Book" w:hAnsi="Franklin Gothic Book"/>
          <w:b w:val="0"/>
        </w:rPr>
        <w:tab/>
        <w:t>7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Option records (expired)</w:t>
      </w:r>
      <w:r w:rsidRPr="009447F2">
        <w:rPr>
          <w:rFonts w:ascii="Franklin Gothic Book" w:hAnsi="Franklin Gothic Book"/>
          <w:b w:val="0"/>
        </w:rPr>
        <w:tab/>
        <w:t>7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Payroll records and summaries, including</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payments to pensioners</w:t>
      </w:r>
      <w:r w:rsidRPr="009447F2">
        <w:rPr>
          <w:rFonts w:ascii="Franklin Gothic Book" w:hAnsi="Franklin Gothic Book"/>
          <w:b w:val="0"/>
        </w:rPr>
        <w:tab/>
        <w:t>7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Personnel records (terminated)</w:t>
      </w:r>
      <w:r w:rsidRPr="009447F2">
        <w:rPr>
          <w:rFonts w:ascii="Franklin Gothic Book" w:hAnsi="Franklin Gothic Book"/>
          <w:b w:val="0"/>
        </w:rPr>
        <w:tab/>
        <w:t xml:space="preserve"> 7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Petty cash vouchers</w:t>
      </w:r>
      <w:r w:rsidRPr="009447F2">
        <w:rPr>
          <w:rFonts w:ascii="Franklin Gothic Book" w:hAnsi="Franklin Gothic Book"/>
          <w:b w:val="0"/>
        </w:rPr>
        <w:tab/>
        <w:t>3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Physical inventory tags</w:t>
      </w:r>
      <w:r w:rsidRPr="009447F2">
        <w:rPr>
          <w:rFonts w:ascii="Franklin Gothic Book" w:hAnsi="Franklin Gothic Book"/>
          <w:b w:val="0"/>
        </w:rPr>
        <w:tab/>
        <w:t>3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Plant cost ledgers</w:t>
      </w:r>
      <w:r w:rsidRPr="009447F2">
        <w:rPr>
          <w:rFonts w:ascii="Franklin Gothic Book" w:hAnsi="Franklin Gothic Book"/>
          <w:b w:val="0"/>
        </w:rPr>
        <w:tab/>
        <w:t>7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Property appraisals by outside appraisers</w:t>
      </w:r>
      <w:r w:rsidRPr="009447F2">
        <w:rPr>
          <w:rFonts w:ascii="Franklin Gothic Book" w:hAnsi="Franklin Gothic Book"/>
          <w:b w:val="0"/>
        </w:rPr>
        <w:tab/>
        <w:t>Permanently</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Property records – including costs, depreciation,</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reserves, end-of-year trial balances,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depreciation schedules, blueprints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and plans</w:t>
      </w:r>
      <w:r w:rsidRPr="009447F2">
        <w:rPr>
          <w:rFonts w:ascii="Franklin Gothic Book" w:hAnsi="Franklin Gothic Book"/>
          <w:b w:val="0"/>
        </w:rPr>
        <w:tab/>
        <w:t xml:space="preserve"> Permanently</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Purchase orders: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Purchasing department copy</w:t>
      </w:r>
      <w:r w:rsidRPr="009447F2">
        <w:rPr>
          <w:rFonts w:ascii="Franklin Gothic Book" w:hAnsi="Franklin Gothic Book"/>
          <w:b w:val="0"/>
        </w:rPr>
        <w:tab/>
        <w:t>7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Other copies</w:t>
      </w:r>
      <w:r w:rsidRPr="009447F2">
        <w:rPr>
          <w:rFonts w:ascii="Franklin Gothic Book" w:hAnsi="Franklin Gothic Book"/>
          <w:b w:val="0"/>
        </w:rPr>
        <w:tab/>
        <w:t>1 Year</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Retirement and pension records</w:t>
      </w:r>
      <w:r w:rsidRPr="009447F2">
        <w:rPr>
          <w:rFonts w:ascii="Franklin Gothic Book" w:hAnsi="Franklin Gothic Book"/>
          <w:b w:val="0"/>
        </w:rPr>
        <w:tab/>
        <w:t>Permanently</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Requisitions</w:t>
      </w:r>
      <w:r w:rsidRPr="009447F2">
        <w:rPr>
          <w:rFonts w:ascii="Franklin Gothic Book" w:hAnsi="Franklin Gothic Book"/>
          <w:b w:val="0"/>
        </w:rPr>
        <w:tab/>
        <w:t>1 Year</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Sales records</w:t>
      </w:r>
      <w:r w:rsidRPr="009447F2">
        <w:rPr>
          <w:rFonts w:ascii="Franklin Gothic Book" w:hAnsi="Franklin Gothic Book"/>
          <w:b w:val="0"/>
        </w:rPr>
        <w:tab/>
        <w:t>7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Savings bond registration records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of Employees</w:t>
      </w:r>
      <w:r w:rsidRPr="009447F2">
        <w:rPr>
          <w:rFonts w:ascii="Franklin Gothic Book" w:hAnsi="Franklin Gothic Book"/>
          <w:b w:val="0"/>
        </w:rPr>
        <w:tab/>
        <w:t>3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Scrap and salvage records (inventories,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sales, etc.)</w:t>
      </w:r>
      <w:r w:rsidRPr="009447F2">
        <w:rPr>
          <w:rFonts w:ascii="Franklin Gothic Book" w:hAnsi="Franklin Gothic Book"/>
          <w:b w:val="0"/>
        </w:rPr>
        <w:tab/>
        <w:t>7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Stenographer’s notebook</w:t>
      </w:r>
      <w:r w:rsidRPr="009447F2">
        <w:rPr>
          <w:rFonts w:ascii="Franklin Gothic Book" w:hAnsi="Franklin Gothic Book"/>
          <w:b w:val="0"/>
        </w:rPr>
        <w:tab/>
        <w:t>1 Year</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Stock and bond certificates (cancelled)</w:t>
      </w:r>
      <w:r w:rsidRPr="009447F2">
        <w:rPr>
          <w:rFonts w:ascii="Franklin Gothic Book" w:hAnsi="Franklin Gothic Book"/>
          <w:b w:val="0"/>
        </w:rPr>
        <w:tab/>
        <w:t>7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Stockroom withdrawal forms</w:t>
      </w:r>
      <w:r w:rsidRPr="009447F2">
        <w:rPr>
          <w:rFonts w:ascii="Franklin Gothic Book" w:hAnsi="Franklin Gothic Book"/>
          <w:b w:val="0"/>
        </w:rPr>
        <w:tab/>
        <w:t>1 Year</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Subsidiary ledgers</w:t>
      </w:r>
      <w:r w:rsidRPr="009447F2">
        <w:rPr>
          <w:rFonts w:ascii="Franklin Gothic Book" w:hAnsi="Franklin Gothic Book"/>
          <w:b w:val="0"/>
        </w:rPr>
        <w:tab/>
        <w:t>7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Tax returns and worksheets, examination</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reports, revenue agents’ and other</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documents relating to determination</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of income tax liability</w:t>
      </w:r>
      <w:r w:rsidRPr="009447F2">
        <w:rPr>
          <w:rFonts w:ascii="Franklin Gothic Book" w:hAnsi="Franklin Gothic Book"/>
          <w:b w:val="0"/>
        </w:rPr>
        <w:tab/>
        <w:t>Permanently</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Time sheets/cards/books</w:t>
      </w:r>
      <w:r w:rsidRPr="009447F2">
        <w:rPr>
          <w:rFonts w:ascii="Franklin Gothic Book" w:hAnsi="Franklin Gothic Book"/>
          <w:b w:val="0"/>
        </w:rPr>
        <w:tab/>
        <w:t>7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Trademark registrations and copyrights</w:t>
      </w:r>
      <w:r w:rsidRPr="009447F2">
        <w:rPr>
          <w:rFonts w:ascii="Franklin Gothic Book" w:hAnsi="Franklin Gothic Book"/>
          <w:b w:val="0"/>
        </w:rPr>
        <w:tab/>
        <w:t>Permanently</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Training manuals</w:t>
      </w:r>
      <w:r w:rsidRPr="009447F2">
        <w:rPr>
          <w:rFonts w:ascii="Franklin Gothic Book" w:hAnsi="Franklin Gothic Book"/>
          <w:b w:val="0"/>
        </w:rPr>
        <w:tab/>
        <w:t xml:space="preserve"> Permanently</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Voucher register and schedules</w:t>
      </w:r>
      <w:r w:rsidRPr="009447F2">
        <w:rPr>
          <w:rFonts w:ascii="Franklin Gothic Book" w:hAnsi="Franklin Gothic Book"/>
          <w:b w:val="0"/>
        </w:rPr>
        <w:tab/>
        <w:t>7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Vouchers for payments to vendors, employees, </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etc. (including allowances and reimbursement</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of employees, officers, etc. for travel and </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 xml:space="preserve">   entertainment expenses)</w:t>
      </w:r>
      <w:r w:rsidRPr="009447F2">
        <w:rPr>
          <w:rFonts w:ascii="Franklin Gothic Book" w:hAnsi="Franklin Gothic Book"/>
          <w:b w:val="0"/>
        </w:rPr>
        <w:tab/>
        <w:t>7 Years</w:t>
      </w:r>
    </w:p>
    <w:p w:rsidR="0096152A" w:rsidRPr="009447F2" w:rsidRDefault="0096152A">
      <w:pPr>
        <w:pStyle w:val="Subtitle"/>
        <w:tabs>
          <w:tab w:val="right" w:leader="dot" w:pos="5040"/>
        </w:tabs>
        <w:spacing w:line="240" w:lineRule="auto"/>
        <w:jc w:val="left"/>
        <w:rPr>
          <w:rFonts w:ascii="Franklin Gothic Book" w:hAnsi="Franklin Gothic Book"/>
          <w:b w:val="0"/>
        </w:rPr>
      </w:pPr>
      <w:r w:rsidRPr="009447F2">
        <w:rPr>
          <w:rFonts w:ascii="Franklin Gothic Book" w:hAnsi="Franklin Gothic Book"/>
          <w:b w:val="0"/>
        </w:rPr>
        <w:t>Withholding tax statements</w:t>
      </w:r>
      <w:r w:rsidRPr="009447F2">
        <w:rPr>
          <w:rFonts w:ascii="Franklin Gothic Book" w:hAnsi="Franklin Gothic Book"/>
          <w:b w:val="0"/>
        </w:rPr>
        <w:tab/>
        <w:t>7 Years</w:t>
      </w:r>
    </w:p>
    <w:p w:rsidR="0096152A" w:rsidRPr="009447F2" w:rsidRDefault="0096152A">
      <w:pPr>
        <w:pStyle w:val="Subtitle"/>
        <w:spacing w:line="240" w:lineRule="auto"/>
        <w:jc w:val="left"/>
        <w:rPr>
          <w:rFonts w:ascii="Franklin Gothic Book" w:hAnsi="Franklin Gothic Book"/>
          <w:b w:val="0"/>
        </w:rPr>
      </w:pPr>
    </w:p>
    <w:p w:rsidR="0096152A" w:rsidRPr="009447F2" w:rsidRDefault="0096152A">
      <w:pPr>
        <w:pStyle w:val="Subtitle"/>
        <w:spacing w:line="240" w:lineRule="auto"/>
        <w:jc w:val="left"/>
        <w:rPr>
          <w:rFonts w:ascii="Franklin Gothic Book" w:hAnsi="Franklin Gothic Book"/>
          <w:b w:val="0"/>
        </w:rPr>
      </w:pPr>
    </w:p>
    <w:p w:rsidR="0096152A" w:rsidRDefault="0096152A">
      <w:pPr>
        <w:pStyle w:val="Subtitle"/>
        <w:tabs>
          <w:tab w:val="left" w:pos="4230"/>
        </w:tabs>
        <w:spacing w:line="240" w:lineRule="auto"/>
        <w:jc w:val="left"/>
        <w:rPr>
          <w:rFonts w:ascii="Tahoma" w:hAnsi="Tahoma"/>
          <w:b w:val="0"/>
          <w:sz w:val="18"/>
        </w:rPr>
      </w:pPr>
    </w:p>
    <w:p w:rsidR="0096152A" w:rsidRDefault="0096152A">
      <w:pPr>
        <w:pStyle w:val="Subtitle"/>
        <w:spacing w:line="240" w:lineRule="auto"/>
        <w:jc w:val="left"/>
        <w:rPr>
          <w:rFonts w:ascii="Tahoma" w:hAnsi="Tahoma"/>
          <w:b w:val="0"/>
          <w:sz w:val="18"/>
        </w:rPr>
      </w:pPr>
    </w:p>
    <w:p w:rsidR="0096152A" w:rsidRDefault="0096152A">
      <w:pPr>
        <w:pStyle w:val="Subtitle"/>
        <w:spacing w:line="240" w:lineRule="auto"/>
        <w:jc w:val="left"/>
        <w:rPr>
          <w:rFonts w:ascii="Tahoma" w:hAnsi="Tahoma"/>
          <w:b w:val="0"/>
          <w:sz w:val="18"/>
        </w:rPr>
      </w:pPr>
    </w:p>
    <w:p w:rsidR="0096152A" w:rsidRDefault="0096152A">
      <w:pPr>
        <w:jc w:val="center"/>
        <w:rPr>
          <w:b/>
          <w:sz w:val="20"/>
        </w:rPr>
      </w:pPr>
    </w:p>
    <w:sectPr w:rsidR="0096152A">
      <w:type w:val="continuous"/>
      <w:pgSz w:w="12240" w:h="15840"/>
      <w:pgMar w:top="720" w:right="720" w:bottom="720" w:left="720" w:header="0" w:footer="0" w:gutter="0"/>
      <w:cols w:num="2" w:space="720" w:equalWidth="0">
        <w:col w:w="5040" w:space="720"/>
        <w:col w:w="50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7E"/>
    <w:rsid w:val="00294F21"/>
    <w:rsid w:val="003B437E"/>
    <w:rsid w:val="009447F2"/>
    <w:rsid w:val="0096152A"/>
    <w:rsid w:val="00A7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EEB976-5CC4-4E13-AE96-0D912612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rPr>
  </w:style>
  <w:style w:type="paragraph" w:styleId="Subtitle">
    <w:name w:val="Subtitle"/>
    <w:basedOn w:val="Normal"/>
    <w:qFormat/>
    <w:pPr>
      <w:spacing w:line="360" w:lineRule="auto"/>
      <w:jc w:val="center"/>
    </w:pPr>
    <w:rPr>
      <w:b/>
      <w:sz w:val="20"/>
    </w:rPr>
  </w:style>
  <w:style w:type="paragraph" w:styleId="BodyText">
    <w:name w:val="Body Text"/>
    <w:basedOn w:val="Normal"/>
    <w:semiHidden/>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Business Organization</vt:lpstr>
    </vt:vector>
  </TitlesOfParts>
  <Company>ASI</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Organization</dc:title>
  <dc:subject/>
  <dc:creator>Judy Keel</dc:creator>
  <cp:keywords/>
  <cp:lastModifiedBy>Tonya Richardson</cp:lastModifiedBy>
  <cp:revision>2</cp:revision>
  <cp:lastPrinted>2001-10-24T20:08:00Z</cp:lastPrinted>
  <dcterms:created xsi:type="dcterms:W3CDTF">2015-08-08T23:45:00Z</dcterms:created>
  <dcterms:modified xsi:type="dcterms:W3CDTF">2015-08-08T23:45:00Z</dcterms:modified>
</cp:coreProperties>
</file>